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187672">
      <w:pPr>
        <w:spacing w:line="300" w:lineRule="auto"/>
        <w:jc w:val="center"/>
        <w:rPr>
          <w:rFonts w:hint="eastAsia" w:ascii="宋体" w:hAnsi="宋体" w:eastAsia="宋体"/>
          <w:b/>
          <w:bCs/>
          <w:sz w:val="30"/>
          <w:szCs w:val="30"/>
        </w:rPr>
      </w:pPr>
      <w:bookmarkStart w:id="0" w:name="OLE_LINK3"/>
      <w:r>
        <w:rPr>
          <w:rFonts w:hint="eastAsia" w:ascii="宋体" w:hAnsi="宋体" w:eastAsia="宋体"/>
          <w:b/>
          <w:bCs/>
          <w:sz w:val="30"/>
          <w:szCs w:val="30"/>
        </w:rPr>
        <w:t>生活情境展智慧 分支结构连学科</w:t>
      </w:r>
    </w:p>
    <w:bookmarkEnd w:id="0"/>
    <w:p w14:paraId="3A6E7DE3">
      <w:pPr>
        <w:spacing w:line="300" w:lineRule="auto"/>
        <w:jc w:val="center"/>
        <w:rPr>
          <w:rFonts w:hint="eastAsia" w:ascii="宋体" w:hAnsi="宋体" w:eastAsia="宋体"/>
          <w:b/>
          <w:bCs/>
          <w:sz w:val="21"/>
          <w:szCs w:val="21"/>
        </w:rPr>
      </w:pPr>
      <w:r>
        <w:rPr>
          <w:rFonts w:hint="eastAsia" w:ascii="宋体" w:hAnsi="宋体" w:eastAsia="宋体"/>
          <w:b/>
          <w:bCs/>
          <w:sz w:val="21"/>
          <w:szCs w:val="21"/>
        </w:rPr>
        <w:t>——《基于生活教育理念的小学信息科技跨学科主题学习活动的设计与实践研究》</w:t>
      </w:r>
    </w:p>
    <w:p w14:paraId="1C75D729">
      <w:pPr>
        <w:spacing w:line="300" w:lineRule="auto"/>
        <w:jc w:val="center"/>
        <w:rPr>
          <w:rFonts w:hint="eastAsia" w:ascii="宋体" w:hAnsi="宋体" w:eastAsia="宋体"/>
          <w:b/>
          <w:bCs/>
          <w:sz w:val="21"/>
          <w:szCs w:val="21"/>
        </w:rPr>
      </w:pPr>
      <w:bookmarkStart w:id="1" w:name="_GoBack"/>
      <w:bookmarkEnd w:id="1"/>
      <w:r>
        <w:rPr>
          <w:rFonts w:hint="eastAsia" w:ascii="宋体" w:hAnsi="宋体" w:eastAsia="宋体"/>
          <w:b/>
          <w:bCs/>
          <w:sz w:val="21"/>
          <w:szCs w:val="21"/>
        </w:rPr>
        <w:t>课题组活动（</w:t>
      </w:r>
      <w:r>
        <w:rPr>
          <w:rFonts w:hint="eastAsia" w:ascii="宋体" w:hAnsi="宋体" w:eastAsia="宋体"/>
          <w:b/>
          <w:bCs/>
          <w:sz w:val="21"/>
          <w:szCs w:val="21"/>
          <w:lang w:val="en-US" w:eastAsia="zh-CN"/>
        </w:rPr>
        <w:t>四</w:t>
      </w:r>
      <w:r>
        <w:rPr>
          <w:rFonts w:hint="eastAsia" w:ascii="宋体" w:hAnsi="宋体" w:eastAsia="宋体"/>
          <w:b/>
          <w:bCs/>
          <w:sz w:val="21"/>
          <w:szCs w:val="21"/>
        </w:rPr>
        <w:t>）</w:t>
      </w:r>
    </w:p>
    <w:p w14:paraId="54DC6A7E">
      <w:pPr>
        <w:spacing w:line="360" w:lineRule="auto"/>
        <w:ind w:firstLine="480" w:firstLineChars="200"/>
        <w:rPr>
          <w:rFonts w:hint="eastAsia" w:ascii="宋体" w:hAnsi="宋体" w:eastAsia="宋体"/>
          <w:sz w:val="24"/>
        </w:rPr>
      </w:pPr>
      <w:r>
        <w:rPr>
          <w:rFonts w:hint="eastAsia" w:ascii="宋体" w:hAnsi="宋体" w:eastAsia="宋体"/>
          <w:sz w:val="24"/>
        </w:rPr>
        <w:t>在新课标背景与生活教育理念的引领下，为促进学生将所学知识应用于真实生活，提升综合素养与实践能力，课题组近日开展了以“影院售票”为情境的小学信息科技跨学科主题学习活动。本次活动聚焦分支结构的教学，自然融入数学中的奇偶判断知识，引导学生在解决生活实际问题的过程中，实现信息科技与数学学科的有机融合。</w:t>
      </w:r>
    </w:p>
    <w:p w14:paraId="11EFAE29">
      <w:pPr>
        <w:spacing w:line="360" w:lineRule="auto"/>
        <w:jc w:val="center"/>
        <w:rPr>
          <w:rFonts w:hint="eastAsia" w:ascii="宋体" w:hAnsi="宋体" w:eastAsia="宋体"/>
          <w:sz w:val="24"/>
        </w:rPr>
      </w:pPr>
      <w:r>
        <w:rPr>
          <w:rFonts w:hint="eastAsia" w:ascii="宋体" w:hAnsi="宋体" w:eastAsia="宋体"/>
          <w:sz w:val="24"/>
        </w:rPr>
        <w:t>生活情境贯穿，搭建真实学习平台</w:t>
      </w:r>
    </w:p>
    <w:p w14:paraId="4FEDAC17">
      <w:pPr>
        <w:spacing w:line="360" w:lineRule="auto"/>
        <w:ind w:firstLine="480" w:firstLineChars="200"/>
        <w:rPr>
          <w:rFonts w:hint="eastAsia" w:ascii="宋体" w:hAnsi="宋体" w:eastAsia="宋体"/>
          <w:sz w:val="24"/>
        </w:rPr>
      </w:pPr>
      <w:r>
        <w:rPr>
          <w:rFonts w:hint="eastAsia" w:ascii="宋体" w:hAnsi="宋体" w:eastAsia="宋体"/>
          <w:sz w:val="24"/>
          <w:lang w:val="en-US" w:eastAsia="zh-CN"/>
        </w:rPr>
        <w:t>陈雨雪老师执教《分支结构》一课，以学生熟悉的“电影院”作为教学情境，贯穿课堂始终。课堂围绕“售票员—宣传员—执行员”三个贴近生活的角色展开，引导学生从生活经验出发，逐步理解并应用分支结构。学生首先作为“售票员”，依据售票规则初步感知判断与选择的过程，体会条件判断在生活中的普遍存在；接着转为“宣传员”，将口头规则转化为流程图，促使学生将生活问题转化为可操作的逻辑模型。在此环节，教师有机融入数学学科中奇偶数判断，引导学生运用“整数除以2余数为0的是偶数”的数学方法进行分类，既强化了数学概念的理解，也为后续编程实现奠定了逻辑基础。最后担任“执行员”，在Scratch中编写程序，验证设计，完成从生活问题到程序实现的全过程。在调试与优化的过程中，学生不断反思逻辑的严谨性与程序的实用性。整个教学过程层层递进、环环相扣，实现了生活经验、数学知识与信息技能的有机融合</w:t>
      </w:r>
      <w:r>
        <w:rPr>
          <w:rFonts w:hint="eastAsia" w:ascii="宋体" w:hAnsi="宋体" w:eastAsia="宋体"/>
          <w:sz w:val="24"/>
        </w:rPr>
        <w:t>。</w:t>
      </w:r>
    </w:p>
    <w:p w14:paraId="576A4E17">
      <w:pPr>
        <w:spacing w:line="360" w:lineRule="auto"/>
        <w:jc w:val="center"/>
        <w:rPr>
          <w:rFonts w:hint="eastAsia" w:ascii="宋体" w:hAnsi="宋体" w:eastAsia="宋体"/>
          <w:sz w:val="24"/>
          <w:lang w:eastAsia="zh-CN"/>
        </w:rPr>
      </w:pPr>
      <w:r>
        <w:rPr>
          <w:rFonts w:hint="eastAsia" w:ascii="宋体" w:hAnsi="宋体" w:eastAsia="宋体"/>
          <w:sz w:val="24"/>
          <w:lang w:eastAsia="zh-CN"/>
        </w:rPr>
        <w:drawing>
          <wp:inline distT="0" distB="0" distL="114300" distR="114300">
            <wp:extent cx="2965450" cy="2225040"/>
            <wp:effectExtent l="0" t="0" r="6350" b="3810"/>
            <wp:docPr id="1" name="图片 1" descr="9808d97896cdde113bc10faf6c6b1d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808d97896cdde113bc10faf6c6b1d3c"/>
                    <pic:cNvPicPr>
                      <a:picLocks noChangeAspect="1"/>
                    </pic:cNvPicPr>
                  </pic:nvPicPr>
                  <pic:blipFill>
                    <a:blip r:embed="rId6"/>
                    <a:stretch>
                      <a:fillRect/>
                    </a:stretch>
                  </pic:blipFill>
                  <pic:spPr>
                    <a:xfrm>
                      <a:off x="0" y="0"/>
                      <a:ext cx="2965450" cy="2225040"/>
                    </a:xfrm>
                    <a:prstGeom prst="rect">
                      <a:avLst/>
                    </a:prstGeom>
                  </pic:spPr>
                </pic:pic>
              </a:graphicData>
            </a:graphic>
          </wp:inline>
        </w:drawing>
      </w:r>
    </w:p>
    <w:p w14:paraId="2C561766">
      <w:pPr>
        <w:spacing w:line="360" w:lineRule="auto"/>
        <w:jc w:val="center"/>
        <w:rPr>
          <w:rFonts w:hint="eastAsia" w:ascii="宋体" w:hAnsi="宋体" w:eastAsia="宋体"/>
          <w:sz w:val="24"/>
        </w:rPr>
      </w:pPr>
      <w:r>
        <w:rPr>
          <w:rFonts w:hint="eastAsia" w:ascii="宋体" w:hAnsi="宋体" w:eastAsia="宋体"/>
          <w:sz w:val="24"/>
        </w:rPr>
        <w:t>反思总结，推动教学持续发展</w:t>
      </w:r>
    </w:p>
    <w:p w14:paraId="30B10DE2">
      <w:pPr>
        <w:spacing w:line="360" w:lineRule="auto"/>
        <w:ind w:firstLine="480" w:firstLineChars="200"/>
        <w:rPr>
          <w:rFonts w:hint="eastAsia" w:ascii="宋体" w:hAnsi="宋体" w:eastAsia="宋体"/>
          <w:sz w:val="24"/>
        </w:rPr>
      </w:pPr>
      <w:r>
        <w:rPr>
          <w:rFonts w:hint="eastAsia" w:ascii="宋体" w:hAnsi="宋体" w:eastAsia="宋体"/>
          <w:sz w:val="24"/>
        </w:rPr>
        <w:t>结束后，</w:t>
      </w:r>
      <w:r>
        <w:rPr>
          <w:rFonts w:hint="eastAsia" w:ascii="宋体" w:hAnsi="宋体" w:eastAsia="宋体"/>
          <w:sz w:val="24"/>
          <w:lang w:val="en-US" w:eastAsia="zh-CN"/>
        </w:rPr>
        <w:t>课题组</w:t>
      </w:r>
      <w:r>
        <w:rPr>
          <w:rFonts w:hint="eastAsia" w:ascii="宋体" w:hAnsi="宋体" w:eastAsia="宋体"/>
          <w:sz w:val="24"/>
        </w:rPr>
        <w:t>教师进行了深入的反思与总结。</w:t>
      </w:r>
      <w:r>
        <w:rPr>
          <w:rFonts w:hint="eastAsia" w:ascii="宋体" w:hAnsi="宋体" w:eastAsia="宋体"/>
          <w:sz w:val="24"/>
          <w:lang w:val="en-US" w:eastAsia="zh-CN"/>
        </w:rPr>
        <w:t>课题组吴紧峰老师认为本节课逻辑清晰、层次分明，有效建立了生活逻辑与程序脚本之间的联系，同时建议可加强小组合作，发挥学生之间的互助共学作用</w:t>
      </w:r>
      <w:r>
        <w:rPr>
          <w:rFonts w:hint="eastAsia" w:ascii="宋体" w:hAnsi="宋体" w:eastAsia="宋体"/>
          <w:sz w:val="24"/>
        </w:rPr>
        <w:t>。针对这些问题，</w:t>
      </w:r>
      <w:r>
        <w:rPr>
          <w:rFonts w:hint="eastAsia" w:ascii="宋体" w:hAnsi="宋体" w:eastAsia="宋体"/>
          <w:sz w:val="24"/>
          <w:lang w:val="en-US" w:eastAsia="zh-CN"/>
        </w:rPr>
        <w:t>刘艳娥老师以及其他课题组成员也</w:t>
      </w:r>
      <w:r>
        <w:rPr>
          <w:rFonts w:hint="eastAsia" w:ascii="宋体" w:hAnsi="宋体" w:eastAsia="宋体"/>
          <w:sz w:val="24"/>
        </w:rPr>
        <w:t>提出了改进措施，如</w:t>
      </w:r>
      <w:r>
        <w:rPr>
          <w:rFonts w:hint="eastAsia" w:ascii="宋体" w:hAnsi="宋体" w:eastAsia="宋体"/>
          <w:sz w:val="24"/>
          <w:lang w:val="en-US" w:eastAsia="zh-CN"/>
        </w:rPr>
        <w:t>本课涉及的奇偶数判断，需提前与数学教学进度做好衔接。这些建议为今后基于生活情境开展跨学科学习提供了宝贵经验</w:t>
      </w:r>
      <w:r>
        <w:rPr>
          <w:rFonts w:hint="eastAsia" w:ascii="宋体" w:hAnsi="宋体" w:eastAsia="宋体"/>
          <w:sz w:val="24"/>
        </w:rPr>
        <w:t xml:space="preserve">。    </w:t>
      </w:r>
    </w:p>
    <w:p w14:paraId="2C8E2310">
      <w:pPr>
        <w:spacing w:line="360" w:lineRule="auto"/>
        <w:jc w:val="center"/>
        <w:rPr>
          <w:rFonts w:hint="eastAsia" w:ascii="宋体" w:hAnsi="宋体" w:eastAsia="宋体"/>
          <w:sz w:val="24"/>
          <w:lang w:eastAsia="zh-CN"/>
        </w:rPr>
      </w:pPr>
      <w:r>
        <w:rPr>
          <w:rFonts w:hint="eastAsia" w:ascii="宋体" w:hAnsi="宋体" w:eastAsia="宋体"/>
          <w:sz w:val="24"/>
          <w:lang w:eastAsia="zh-CN"/>
        </w:rPr>
        <w:drawing>
          <wp:inline distT="0" distB="0" distL="114300" distR="114300">
            <wp:extent cx="4408170" cy="3307080"/>
            <wp:effectExtent l="0" t="0" r="1905" b="7620"/>
            <wp:docPr id="2" name="图片 2" descr="661da8eff3704757430923e344f6d6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61da8eff3704757430923e344f6d65a"/>
                    <pic:cNvPicPr>
                      <a:picLocks noChangeAspect="1"/>
                    </pic:cNvPicPr>
                  </pic:nvPicPr>
                  <pic:blipFill>
                    <a:blip r:embed="rId7"/>
                    <a:stretch>
                      <a:fillRect/>
                    </a:stretch>
                  </pic:blipFill>
                  <pic:spPr>
                    <a:xfrm>
                      <a:off x="0" y="0"/>
                      <a:ext cx="4408170" cy="330708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A4E"/>
    <w:rsid w:val="000A4F86"/>
    <w:rsid w:val="001408AD"/>
    <w:rsid w:val="001934B4"/>
    <w:rsid w:val="001B4F04"/>
    <w:rsid w:val="0027050E"/>
    <w:rsid w:val="002B56CF"/>
    <w:rsid w:val="002D2E60"/>
    <w:rsid w:val="003173EB"/>
    <w:rsid w:val="0036098F"/>
    <w:rsid w:val="00435359"/>
    <w:rsid w:val="0049396D"/>
    <w:rsid w:val="004C0A4E"/>
    <w:rsid w:val="00543525"/>
    <w:rsid w:val="00596E4D"/>
    <w:rsid w:val="005E10C8"/>
    <w:rsid w:val="0062793F"/>
    <w:rsid w:val="00734B02"/>
    <w:rsid w:val="009560C4"/>
    <w:rsid w:val="009566D0"/>
    <w:rsid w:val="00AE49A1"/>
    <w:rsid w:val="00AF1E36"/>
    <w:rsid w:val="00BE182B"/>
    <w:rsid w:val="00C934C1"/>
    <w:rsid w:val="00CC1D32"/>
    <w:rsid w:val="00D224AA"/>
    <w:rsid w:val="00D81D01"/>
    <w:rsid w:val="00DB404A"/>
    <w:rsid w:val="00E94D10"/>
    <w:rsid w:val="00EA26E6"/>
    <w:rsid w:val="00F37492"/>
    <w:rsid w:val="00F50CF5"/>
    <w:rsid w:val="00F53735"/>
    <w:rsid w:val="00F73572"/>
    <w:rsid w:val="00FA4EDA"/>
    <w:rsid w:val="00FB6B73"/>
    <w:rsid w:val="00FE0DB0"/>
    <w:rsid w:val="0AA12680"/>
    <w:rsid w:val="1E412FB0"/>
    <w:rsid w:val="2D8D1931"/>
    <w:rsid w:val="358F726C"/>
    <w:rsid w:val="403646E7"/>
    <w:rsid w:val="620A305A"/>
    <w:rsid w:val="710027AD"/>
    <w:rsid w:val="79E72D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2"/>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3"/>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5"/>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7"/>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2F5597" w:themeColor="accent1" w:themeShade="BF"/>
      <w:sz w:val="48"/>
      <w:szCs w:val="48"/>
    </w:rPr>
  </w:style>
  <w:style w:type="character" w:customStyle="1" w:styleId="18">
    <w:name w:val="标题 2 字符"/>
    <w:basedOn w:val="16"/>
    <w:link w:val="3"/>
    <w:semiHidden/>
    <w:uiPriority w:val="9"/>
    <w:rPr>
      <w:rFonts w:asciiTheme="majorHAnsi" w:hAnsiTheme="majorHAnsi" w:eastAsiaTheme="majorEastAsia" w:cstheme="majorBidi"/>
      <w:color w:val="2F5597"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0">
    <w:name w:val="标题 4 字符"/>
    <w:basedOn w:val="16"/>
    <w:link w:val="5"/>
    <w:semiHidden/>
    <w:qFormat/>
    <w:uiPriority w:val="9"/>
    <w:rPr>
      <w:rFonts w:cstheme="majorBidi"/>
      <w:color w:val="2F5597" w:themeColor="accent1" w:themeShade="BF"/>
      <w:sz w:val="28"/>
      <w:szCs w:val="28"/>
    </w:rPr>
  </w:style>
  <w:style w:type="character" w:customStyle="1" w:styleId="21">
    <w:name w:val="标题 5 字符"/>
    <w:basedOn w:val="16"/>
    <w:link w:val="6"/>
    <w:semiHidden/>
    <w:qFormat/>
    <w:uiPriority w:val="9"/>
    <w:rPr>
      <w:rFonts w:cstheme="majorBidi"/>
      <w:color w:val="2F5597" w:themeColor="accent1" w:themeShade="BF"/>
      <w:sz w:val="24"/>
    </w:rPr>
  </w:style>
  <w:style w:type="character" w:customStyle="1" w:styleId="22">
    <w:name w:val="标题 6 字符"/>
    <w:basedOn w:val="16"/>
    <w:link w:val="7"/>
    <w:semiHidden/>
    <w:qFormat/>
    <w:uiPriority w:val="9"/>
    <w:rPr>
      <w:rFonts w:cstheme="majorBidi"/>
      <w:b/>
      <w:bCs/>
      <w:color w:val="2F5597"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明显引用 字符"/>
    <w:basedOn w:val="16"/>
    <w:link w:val="32"/>
    <w:qFormat/>
    <w:uiPriority w:val="30"/>
    <w:rPr>
      <w:i/>
      <w:iCs/>
      <w:color w:val="2F5597" w:themeColor="accent1" w:themeShade="BF"/>
    </w:rPr>
  </w:style>
  <w:style w:type="character" w:customStyle="1" w:styleId="34">
    <w:name w:val="Intense Reference"/>
    <w:basedOn w:val="16"/>
    <w:qFormat/>
    <w:uiPriority w:val="32"/>
    <w:rPr>
      <w:b/>
      <w:bCs/>
      <w:smallCaps/>
      <w:color w:val="2F5597"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826</Words>
  <Characters>832</Characters>
  <Lines>10</Lines>
  <Paragraphs>7</Paragraphs>
  <TotalTime>13</TotalTime>
  <ScaleCrop>false</ScaleCrop>
  <LinksUpToDate>false</LinksUpToDate>
  <CharactersWithSpaces>837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2025-03-14T07:59:00Z</dcterms:created>
  <dc:creator>凤言 高</dc:creator>
  <cp:lastModifiedBy>心做し</cp:lastModifiedBy>
  <dcterms:modified xsi:type="dcterms:W3CDTF">2026-01-29T06:32:36Z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D5CB511FAC8D49E6996257981EC0807E_13</vt:lpwstr>
  </property>
  <property fmtid="{D5CDD505-2E9C-101B-9397-08002B2CF9AE}" pid="4" name="KSOTemplateDocerSaveRecord">
    <vt:lpwstr>eyJoZGlkIjoiMzZlZTA0ODkyMWYwYWRjZTY4MDAzYzk3NzFiYTI4NWYiLCJ1c2VySWQiOiIzOTI2NjEzMDUifQ==</vt:lpwstr>
  </property>
</Properties>
</file>