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0" w:beforeAutospacing="0" w:after="0" w:afterAutospacing="0" w:line="360" w:lineRule="auto"/>
        <w:ind w:left="0" w:right="0" w:firstLine="600" w:firstLineChars="200"/>
        <w:jc w:val="center"/>
        <w:rPr>
          <w:rFonts w:hint="default" w:ascii="黑体" w:hAnsi="宋体" w:eastAsia="黑体" w:cs="黑体"/>
          <w:kern w:val="2"/>
          <w:sz w:val="30"/>
          <w:szCs w:val="30"/>
          <w:lang w:val="en-US" w:eastAsia="zh-CN" w:bidi="ar"/>
        </w:rPr>
      </w:pPr>
      <w:r>
        <w:rPr>
          <w:rFonts w:hint="default" w:ascii="黑体" w:hAnsi="宋体" w:eastAsia="黑体" w:cs="黑体"/>
          <w:kern w:val="2"/>
          <w:sz w:val="30"/>
          <w:szCs w:val="30"/>
          <w:lang w:val="en-US" w:eastAsia="zh-CN" w:bidi="ar"/>
        </w:rPr>
        <w:t>以学助玩，从玩中提升</w:t>
      </w:r>
      <w:r>
        <w:rPr>
          <w:rFonts w:hint="eastAsia" w:ascii="黑体" w:hAnsi="宋体" w:eastAsia="黑体" w:cs="黑体"/>
          <w:kern w:val="2"/>
          <w:sz w:val="30"/>
          <w:szCs w:val="30"/>
          <w:lang w:val="en-US" w:eastAsia="zh-CN" w:bidi="ar"/>
        </w:rPr>
        <w:t>和</w:t>
      </w:r>
      <w:r>
        <w:rPr>
          <w:rFonts w:hint="default" w:ascii="黑体" w:hAnsi="宋体" w:eastAsia="黑体" w:cs="黑体"/>
          <w:kern w:val="2"/>
          <w:sz w:val="30"/>
          <w:szCs w:val="30"/>
          <w:lang w:val="en-US" w:eastAsia="zh-CN" w:bidi="ar"/>
        </w:rPr>
        <w:t>锻炼</w:t>
      </w:r>
      <w:r>
        <w:rPr>
          <w:rFonts w:hint="eastAsia" w:ascii="黑体" w:hAnsi="宋体" w:eastAsia="黑体" w:cs="黑体"/>
          <w:kern w:val="2"/>
          <w:sz w:val="30"/>
          <w:szCs w:val="30"/>
          <w:lang w:val="en-US" w:eastAsia="zh-CN" w:bidi="ar"/>
        </w:rPr>
        <w:t>学生</w:t>
      </w:r>
      <w:r>
        <w:rPr>
          <w:rFonts w:hint="default" w:ascii="黑体" w:hAnsi="宋体" w:eastAsia="黑体" w:cs="黑体"/>
          <w:kern w:val="2"/>
          <w:sz w:val="30"/>
          <w:szCs w:val="30"/>
          <w:lang w:val="en-US" w:eastAsia="zh-CN" w:bidi="ar"/>
        </w:rPr>
        <w:t>的逻辑抽象思维</w:t>
      </w:r>
    </w:p>
    <w:p>
      <w:pPr>
        <w:jc w:val="center"/>
        <w:rPr>
          <w:rFonts w:ascii="宋体" w:hAnsi="宋体"/>
          <w:sz w:val="24"/>
          <w:szCs w:val="24"/>
        </w:rPr>
      </w:pPr>
      <w:r>
        <w:rPr>
          <w:rFonts w:hint="eastAsia" w:ascii="宋体" w:hAnsi="宋体"/>
          <w:sz w:val="24"/>
          <w:szCs w:val="24"/>
        </w:rPr>
        <w:t>——202</w:t>
      </w:r>
      <w:r>
        <w:rPr>
          <w:rFonts w:hint="eastAsia" w:ascii="宋体" w:hAnsi="宋体"/>
          <w:sz w:val="24"/>
          <w:szCs w:val="24"/>
          <w:lang w:val="en-US" w:eastAsia="zh-CN"/>
        </w:rPr>
        <w:t>3</w:t>
      </w:r>
      <w:r>
        <w:rPr>
          <w:rFonts w:hint="eastAsia" w:ascii="宋体" w:hAnsi="宋体"/>
          <w:sz w:val="24"/>
          <w:szCs w:val="24"/>
        </w:rPr>
        <w:t>-202</w:t>
      </w:r>
      <w:r>
        <w:rPr>
          <w:rFonts w:hint="eastAsia" w:ascii="宋体" w:hAnsi="宋体"/>
          <w:sz w:val="24"/>
          <w:szCs w:val="24"/>
          <w:lang w:val="en-US" w:eastAsia="zh-CN"/>
        </w:rPr>
        <w:t>4</w:t>
      </w:r>
      <w:r>
        <w:rPr>
          <w:rFonts w:hint="eastAsia" w:ascii="宋体" w:hAnsi="宋体"/>
          <w:sz w:val="24"/>
          <w:szCs w:val="24"/>
        </w:rPr>
        <w:t>第</w:t>
      </w:r>
      <w:r>
        <w:rPr>
          <w:rFonts w:hint="eastAsia" w:ascii="宋体" w:hAnsi="宋体"/>
          <w:sz w:val="24"/>
          <w:szCs w:val="24"/>
          <w:lang w:val="en-US" w:eastAsia="zh-CN"/>
        </w:rPr>
        <w:t>一</w:t>
      </w:r>
      <w:r>
        <w:rPr>
          <w:rFonts w:hint="eastAsia" w:ascii="宋体" w:hAnsi="宋体"/>
          <w:sz w:val="24"/>
          <w:szCs w:val="24"/>
        </w:rPr>
        <w:t>学期</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u w:val="single"/>
          <w:lang w:val="en-US" w:eastAsia="zh-CN"/>
        </w:rPr>
        <w:t>数独</w:t>
      </w:r>
      <w:r>
        <w:rPr>
          <w:rFonts w:ascii="宋体" w:hAnsi="宋体"/>
          <w:sz w:val="24"/>
          <w:szCs w:val="24"/>
          <w:u w:val="single"/>
        </w:rPr>
        <w:t xml:space="preserve"> </w:t>
      </w:r>
      <w:r>
        <w:rPr>
          <w:rFonts w:hint="eastAsia"/>
          <w:sz w:val="24"/>
          <w:szCs w:val="24"/>
          <w:lang w:val="en-US" w:eastAsia="zh-CN"/>
        </w:rPr>
        <w:t>社团</w:t>
      </w:r>
      <w:r>
        <w:rPr>
          <w:rFonts w:hint="eastAsia"/>
          <w:sz w:val="24"/>
          <w:szCs w:val="24"/>
        </w:rPr>
        <w:t>总结</w:t>
      </w:r>
    </w:p>
    <w:p>
      <w:pPr>
        <w:jc w:val="center"/>
        <w:rPr>
          <w:rFonts w:hint="eastAsia" w:ascii="黑体" w:hAnsi="宋体" w:eastAsia="宋体" w:cs="黑体"/>
          <w:kern w:val="2"/>
          <w:sz w:val="30"/>
          <w:szCs w:val="30"/>
          <w:lang w:val="en-US" w:eastAsia="zh-CN" w:bidi="ar"/>
        </w:rPr>
      </w:pPr>
      <w:r>
        <w:rPr>
          <w:rFonts w:hint="eastAsia"/>
          <w:sz w:val="28"/>
          <w:szCs w:val="28"/>
        </w:rPr>
        <w:t xml:space="preserve"> </w:t>
      </w:r>
      <w:r>
        <w:rPr>
          <w:sz w:val="28"/>
          <w:szCs w:val="28"/>
        </w:rPr>
        <w:t xml:space="preserve">                                   </w:t>
      </w:r>
      <w:r>
        <w:rPr>
          <w:rFonts w:hint="eastAsia"/>
          <w:sz w:val="28"/>
          <w:szCs w:val="28"/>
          <w:lang w:val="en-US" w:eastAsia="zh-CN"/>
        </w:rPr>
        <w:t>汪晴</w:t>
      </w:r>
    </w:p>
    <w:p>
      <w:pPr>
        <w:spacing w:line="360" w:lineRule="auto"/>
        <w:ind w:firstLine="480" w:firstLineChars="200"/>
        <w:jc w:val="left"/>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我们的活动是这样开展的，先由老师介绍一下基本的知识和技能，然后根据学生的自己情况，把握学习的进度:比如在讲直观法的时候由于刚接触到数独，对数独的游戏规则，数独的分类情况和数独的难易程度都不了解，所以专门拿出了三节课来讲数独的历史和数独的分类及其游戏难以程度，从而使得同学们对数独这种古老又有趣的游戏有了更加深刻的认识，为以后的学习打下了基础;后面到了最难的候选法，候选法主要是对耐心和信心的考验，不少同学在信心上产生了动摇，这时候对于这种情况我们采取了先易后难，先入为主的方法。对于直观法能不能有候选法呢?最熟悉的直观法的基础上采用候选法，同学们对于直观法已经非常熟悉，所以对于候选法这种最难的方法采取了先入为主的方法，同学们从而慢慢掌握了这种方法。在以后的应用中非常熟悉的应用这种方法来解决骨灰级的数独时这才发现这种方法的优越性，现在有五名同学能够很快的应用这种方法来解决骨灰级别的数独，他们的速度让老师大为感慨。</w:t>
      </w:r>
    </w:p>
    <w:p>
      <w:pPr>
        <w:spacing w:line="360" w:lineRule="auto"/>
        <w:ind w:firstLine="480" w:firstLineChars="200"/>
        <w:jc w:val="left"/>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活动的不足之处:每次活动我们都采取竞争比赛的方法，谁完成的快，谁的质量好就能够得到额外的回报，比如说奖励一个小文具等等。但是采取这种方法的不好的地方:对于从来也没有玩过数独的人来说是不公平的，这些同学的基础本来就不好，而做数独的速度和你的熟练程度是有关系的，熟练的过程也需要一定的练习和一定的时间。这部分同学的积极性难以得到最大的发挥，于是在最后的骨灰级水平的解法中部分同学选择了放弃，只是对于这些比较简单的题目或者稍微难一点的谜题做了解答，只能勉强的得到了及格分数。</w:t>
      </w:r>
    </w:p>
    <w:p>
      <w:pPr>
        <w:spacing w:line="360" w:lineRule="auto"/>
        <w:ind w:firstLine="480" w:firstLineChars="200"/>
        <w:jc w:val="left"/>
        <w:rPr>
          <w:rFonts w:hint="default" w:ascii="宋体" w:hAnsi="宋体" w:eastAsia="宋体"/>
          <w:sz w:val="24"/>
          <w:lang w:val="en-US" w:eastAsia="zh-CN"/>
        </w:rPr>
      </w:pPr>
      <w:r>
        <w:rPr>
          <w:rFonts w:hint="eastAsia" w:ascii="宋体" w:hAnsi="宋体" w:eastAsia="宋体" w:cs="宋体"/>
          <w:kern w:val="2"/>
          <w:sz w:val="24"/>
          <w:szCs w:val="24"/>
          <w:lang w:val="en-US" w:eastAsia="zh-CN" w:bidi="ar"/>
        </w:rPr>
        <w:t>总之，半年来老师和学生兴趣所在，以学助玩，从玩中得到提升，从玩中锻炼了自己的逻辑抽象思维。</w:t>
      </w:r>
      <w:bookmarkStart w:id="0" w:name="_GoBack"/>
      <w:bookmarkEnd w:id="0"/>
    </w:p>
    <w:sectPr>
      <w:headerReference r:id="rId3" w:type="default"/>
      <w:footerReference r:id="rId4" w:type="default"/>
      <w:pgSz w:w="11906" w:h="16838"/>
      <w:pgMar w:top="1797"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Bdr>
        <w:top w:val="single" w:color="auto" w:sz="4" w:space="9"/>
      </w:pBdr>
    </w:pPr>
    <w:r>
      <w:drawing>
        <wp:anchor distT="0" distB="0" distL="114300" distR="114300" simplePos="0" relativeHeight="251661312" behindDoc="0" locked="0" layoutInCell="1" allowOverlap="1">
          <wp:simplePos x="0" y="0"/>
          <wp:positionH relativeFrom="column">
            <wp:posOffset>114300</wp:posOffset>
          </wp:positionH>
          <wp:positionV relativeFrom="paragraph">
            <wp:posOffset>57150</wp:posOffset>
          </wp:positionV>
          <wp:extent cx="5276850" cy="266700"/>
          <wp:effectExtent l="0" t="0" r="0" b="0"/>
          <wp:wrapNone/>
          <wp:docPr id="4" name="Picture 13" descr="页脚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3" descr="页脚副本"/>
                  <pic:cNvPicPr>
                    <a:picLocks noChangeAspect="1"/>
                  </pic:cNvPicPr>
                </pic:nvPicPr>
                <pic:blipFill>
                  <a:blip r:embed="rId1"/>
                  <a:stretch>
                    <a:fillRect/>
                  </a:stretch>
                </pic:blipFill>
                <pic:spPr>
                  <a:xfrm>
                    <a:off x="0" y="0"/>
                    <a:ext cx="5276850" cy="266700"/>
                  </a:xfrm>
                  <a:prstGeom prst="rect">
                    <a:avLst/>
                  </a:prstGeom>
                  <a:noFill/>
                  <a:ln>
                    <a:noFill/>
                  </a:ln>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jc w:val="left"/>
    </w:pPr>
    <w:r>
      <w:drawing>
        <wp:anchor distT="0" distB="0" distL="114300" distR="114300" simplePos="0" relativeHeight="251659264" behindDoc="1" locked="0" layoutInCell="1" allowOverlap="1">
          <wp:simplePos x="0" y="0"/>
          <wp:positionH relativeFrom="column">
            <wp:posOffset>1143000</wp:posOffset>
          </wp:positionH>
          <wp:positionV relativeFrom="paragraph">
            <wp:posOffset>-33020</wp:posOffset>
          </wp:positionV>
          <wp:extent cx="3429000" cy="614680"/>
          <wp:effectExtent l="0" t="0" r="0" b="13970"/>
          <wp:wrapNone/>
          <wp:docPr id="1" name="Picture 16" descr="校名第二稿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6" descr="校名第二稿副本"/>
                  <pic:cNvPicPr>
                    <a:picLocks noChangeAspect="1"/>
                  </pic:cNvPicPr>
                </pic:nvPicPr>
                <pic:blipFill>
                  <a:blip r:embed="rId1"/>
                  <a:stretch>
                    <a:fillRect/>
                  </a:stretch>
                </pic:blipFill>
                <pic:spPr>
                  <a:xfrm>
                    <a:off x="0" y="0"/>
                    <a:ext cx="3429000" cy="614680"/>
                  </a:xfrm>
                  <a:prstGeom prst="rect">
                    <a:avLst/>
                  </a:prstGeom>
                  <a:noFill/>
                  <a:ln>
                    <a:noFill/>
                  </a:ln>
                </pic:spPr>
              </pic:pic>
            </a:graphicData>
          </a:graphic>
        </wp:anchor>
      </w:drawing>
    </w:r>
    <w:r>
      <mc:AlternateContent>
        <mc:Choice Requires="wps">
          <w:drawing>
            <wp:anchor distT="0" distB="0" distL="114300" distR="114300" simplePos="0" relativeHeight="251660288" behindDoc="0" locked="0" layoutInCell="1" allowOverlap="1">
              <wp:simplePos x="0" y="0"/>
              <wp:positionH relativeFrom="column">
                <wp:posOffset>457200</wp:posOffset>
              </wp:positionH>
              <wp:positionV relativeFrom="paragraph">
                <wp:posOffset>303530</wp:posOffset>
              </wp:positionV>
              <wp:extent cx="4800600" cy="0"/>
              <wp:effectExtent l="0" t="0" r="0" b="0"/>
              <wp:wrapNone/>
              <wp:docPr id="2" name="直接连接符 2"/>
              <wp:cNvGraphicFramePr/>
              <a:graphic xmlns:a="http://schemas.openxmlformats.org/drawingml/2006/main">
                <a:graphicData uri="http://schemas.microsoft.com/office/word/2010/wordprocessingShape">
                  <wps:wsp>
                    <wps:cNvCnPr/>
                    <wps:spPr>
                      <a:xfrm>
                        <a:off x="0" y="0"/>
                        <a:ext cx="4800600"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36pt;margin-top:23.9pt;height:0pt;width:378pt;z-index:251660288;mso-width-relative:page;mso-height-relative:page;" filled="f" stroked="t" coordsize="21600,21600" o:gfxdata="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LjcJi&#10;1QAAAAgBAAAPAAAAAAAAAAEAIAAAACIAAABkcnMvZG93bnJldi54bWxQSwECFAAUAAAACACHTuJA&#10;Tg+4wesBAADYAwAADgAAAAAAAAABACAAAAAkAQAAZHJzL2Uyb0RvYy54bWxQSwUGAAAAAAYABgBZ&#10;AQAAgQUAAAAA&#10;">
              <v:fill on="f" focussize="0,0"/>
              <v:stroke color="#000000" joinstyle="round"/>
              <v:imagedata o:title=""/>
              <o:lock v:ext="edit" aspectratio="f"/>
            </v:line>
          </w:pict>
        </mc:Fallback>
      </mc:AlternateContent>
    </w:r>
    <w:r>
      <w:drawing>
        <wp:inline distT="0" distB="0" distL="114300" distR="114300">
          <wp:extent cx="474345" cy="516890"/>
          <wp:effectExtent l="28575" t="6985" r="30480" b="28575"/>
          <wp:docPr id="3" name="Picture 5" descr="校标仅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descr="校标仅标志"/>
                  <pic:cNvPicPr>
                    <a:picLocks noChangeAspect="1"/>
                  </pic:cNvPicPr>
                </pic:nvPicPr>
                <pic:blipFill>
                  <a:blip r:embed="rId2"/>
                  <a:stretch>
                    <a:fillRect/>
                  </a:stretch>
                </pic:blipFill>
                <pic:spPr>
                  <a:xfrm rot="21193903">
                    <a:off x="0" y="0"/>
                    <a:ext cx="474345" cy="5168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YxNDk2YjgyMDBjY2FjZTRmOTdhMjAwNGMyYTM2NzEifQ=="/>
  </w:docVars>
  <w:rsids>
    <w:rsidRoot w:val="26F93B06"/>
    <w:rsid w:val="0032468C"/>
    <w:rsid w:val="008F0434"/>
    <w:rsid w:val="00A634FF"/>
    <w:rsid w:val="26F93B06"/>
    <w:rsid w:val="2EF732AE"/>
    <w:rsid w:val="309940B7"/>
    <w:rsid w:val="31E16EAE"/>
    <w:rsid w:val="338E1F10"/>
    <w:rsid w:val="3A9349CF"/>
    <w:rsid w:val="3FA62BEE"/>
    <w:rsid w:val="402A212C"/>
    <w:rsid w:val="68821AD5"/>
    <w:rsid w:val="6C6765E2"/>
    <w:rsid w:val="72C34671"/>
    <w:rsid w:val="741A114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qFormat/>
    <w:uiPriority w:val="0"/>
    <w:pPr>
      <w:spacing w:before="100" w:beforeAutospacing="1" w:after="100" w:afterAutospacing="1"/>
      <w:jc w:val="left"/>
    </w:pPr>
    <w:rPr>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79</Words>
  <Characters>92</Characters>
  <Lines>1</Lines>
  <Paragraphs>1</Paragraphs>
  <TotalTime>1</TotalTime>
  <ScaleCrop>false</ScaleCrop>
  <LinksUpToDate>false</LinksUpToDate>
  <CharactersWithSpaces>137</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2022-01-17T09:37:00Z</dcterms:created>
  <dc:creator>Sunshine</dc:creator>
  <cp:lastModifiedBy>雪翎</cp:lastModifiedBy>
  <dcterms:modified xsi:type="dcterms:W3CDTF">2024-01-24T02:50:24Z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BCFA24259023425DBEABBBCAF50D78D7_13</vt:lpwstr>
  </property>
</Properties>
</file>